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2" w:rsidRPr="009706F2" w:rsidRDefault="009706F2" w:rsidP="009706F2">
      <w:pPr>
        <w:suppressAutoHyphens/>
        <w:spacing w:after="0" w:line="240" w:lineRule="auto"/>
        <w:jc w:val="right"/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 xml:space="preserve">60/2015.(IX.25.) </w:t>
      </w:r>
      <w:proofErr w:type="spellStart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>Kvt</w:t>
      </w:r>
      <w:proofErr w:type="spellEnd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>. számú határozat melléklete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  <w:t>TÖMÖRKÉNY KÖZSÉG ÖNKORMÁNYZAT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  <w:t>KÉPVISELŐ-TESTÜLETE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  <w:t>BURSA HUNGARICA FELSŐOKTATÁSI ÖNKORMÁNYZATI ÖSZTÖNDÍJPÁLYÁZATRÓL SZÓLÓ SZABÁLYZATA</w:t>
      </w: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3240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I.  </w:t>
      </w:r>
      <w:proofErr w:type="gramStart"/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A</w:t>
      </w:r>
      <w:proofErr w:type="gramEnd"/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 szabályzat hatálya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szabályzat hatálya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a Tömörkény Község közigazgatási  területén </w:t>
      </w:r>
      <w:r w:rsidRPr="009706F2"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  <w:t>állandó lakóhellyel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 rendelkező, hátrányos szociális helyzetű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felsőoktatási intézményben (felsőoktatási hallgatói jogviszony keretében) teljes idejű (nappali tagozatos), alapfokozatot és szakképzettséget eredményező alapképzésben, mesterfokozatot és szakképzettséget eredményező mesterképzésben, egységes, osztatlan képzésben vagy felsőfokú szakképzésben, a képzésre vonatkozó keretidőn belül tanulmányokat folytató hallgatókra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(„A” típusú pályázat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), illetőleg az önkormányzat területén állandó lakóhellyel rendelkező, hátrányos szociális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helyzetű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utolsó éves, érettségi előtt álló középiskolás, illetve felsőfokú diplomával nem rendelkező, felsőoktatási intézménybe felvételt még nem nyert érettségizett, felsőoktatási intézményben teljes idejű (nappali tagozatos) tanulmányokat folytatni kívánó fiatalokra terjed ki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(„B” típusú pályázat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).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b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II. Az ösztöndíj igény benyújtásának módja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1.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 pályázat útján nyerhető el a felsőoktatásban részt vevő hallgatók juttatásairól és az általuk fizetendő egyes térítésekről szóló 51/2007. (III.26.) Korm. rendelet, 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Ösztöndíjrendszer Általános Szerződési Feltételei, Pályázati kiírás és e Szabályzatban foglaltak szerint.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2. 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 pályázatot kiírásban szereplő határidőn belül, Tömörkény Község Önkormányzatánál kell benyújtani. A pályázati űrlap csak a kiírásban meghatározott csatolandó mellékletekkel együtt érvényes.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III. Az ösztöndíj elbírálásának módja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A pályázatról Tömörkény Község Önkormányzat Képviselő-testülete dönt. 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2   A Testület szociális rászorultság alapján rangsorolja a pályázókat, és a rendelkezésre álló költségvetési keretösszeg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erejéig  dönt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az ösztöndíjban részesülőkről. A rangsor a meghatározott pontszámok összegzésével állítható fel.</w:t>
      </w:r>
    </w:p>
    <w:p w:rsidR="009706F2" w:rsidRPr="009706F2" w:rsidRDefault="009706F2" w:rsidP="00970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A pályázó </w:t>
      </w:r>
      <w:proofErr w:type="spellStart"/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összpontszámai</w:t>
      </w:r>
      <w:proofErr w:type="spellEnd"/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alapján összesítő táblázat készül.</w:t>
      </w:r>
    </w:p>
    <w:p w:rsidR="009706F2" w:rsidRPr="009706F2" w:rsidRDefault="009706F2" w:rsidP="00970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3.  A pályázatok elbírálása során az alábbi szociális rászorultsági tényezők figyelembe vételével állapítja meg a sorrendet: </w:t>
      </w: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A pályázóval </w:t>
      </w:r>
      <w:r w:rsidRPr="009706F2"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  <w:t>egy háztartásban élők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(a pályázó állandó lakóhelye szerinti lakásban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életvitelszerűen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együttlakó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, ott bejelentett vagy tartózkodási hellyel rendelkező személyek) egy főre jutó havi nettó jövedelme a mindenkori öregségi nyugdíj mindenkori legkisebb összegének:  </w:t>
      </w:r>
    </w:p>
    <w:p w:rsidR="009706F2" w:rsidRPr="009706F2" w:rsidRDefault="009706F2" w:rsidP="009706F2">
      <w:pPr>
        <w:tabs>
          <w:tab w:val="left" w:pos="680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aa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100%-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át        nem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haladja meg:                                 30 pont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ab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100-120%-</w:t>
      </w:r>
      <w:proofErr w:type="spellStart"/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ig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                                                  25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ac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120-160%-</w:t>
      </w:r>
      <w:proofErr w:type="spellStart"/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ig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              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ad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.)     160%-t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meghaladja                                                     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A pályázó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házas                      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gyermeket nevel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pont/gyermek 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önfenntartó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eltartott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  3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háztartásában az eltartottak száma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pont/fő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szülei elváltak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szülei különváltak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szülője gyermekét/gyermekeit egyedül neveli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árva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félárva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15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gyámolt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15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gyermekvédelmi szakellátásban részesülő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fogyatékossággal élő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háztartásában tartósan beteg, vagy rokkant él: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10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pályázó </w:t>
      </w:r>
      <w:proofErr w:type="gramStart"/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háztartásában  munkanélküli</w:t>
      </w:r>
      <w:proofErr w:type="gramEnd"/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él:</w:t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    </w:t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5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részesül kollégiumi ellátásban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  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r.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) A pályázó naponta ingázik-e a lakóhelye és felsőoktatási intézménye között:</w:t>
      </w:r>
    </w:p>
    <w:p w:rsidR="009706F2" w:rsidRPr="009706F2" w:rsidRDefault="009706F2" w:rsidP="009706F2">
      <w:pPr>
        <w:suppressAutoHyphens/>
        <w:spacing w:after="0" w:line="240" w:lineRule="auto"/>
        <w:ind w:left="5948" w:firstLine="42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5 pont               </w:t>
      </w: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s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Egyéb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,  a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pályázatot benyújtó hallgató szociális helyzetének megítélésekor figyelembe                                          vehető igazolt tény, állapot, legfeljebb:                                         5 pont.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4. A pályázónak a szociális rászorultsága igazolására a pályázata kötelező mellékleteként az alábbi okiratokat kell becsatolni:</w:t>
      </w:r>
    </w:p>
    <w:p w:rsidR="009706F2" w:rsidRPr="009706F2" w:rsidRDefault="009706F2" w:rsidP="009706F2">
      <w:pPr>
        <w:numPr>
          <w:ilvl w:val="1"/>
          <w:numId w:val="3"/>
        </w:num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 pályázó és a vele közös háztartásban élőkről nyilatkozat és a kérelem benyújtását megelőző hónapra vonatkozó jövedelemigazolás.</w:t>
      </w:r>
    </w:p>
    <w:p w:rsidR="009706F2" w:rsidRPr="009706F2" w:rsidRDefault="009706F2" w:rsidP="009706F2">
      <w:pPr>
        <w:numPr>
          <w:ilvl w:val="1"/>
          <w:numId w:val="3"/>
        </w:num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lastRenderedPageBreak/>
        <w:t>Az egyszerűsített foglalkoztatás esetén az egyszerűsített foglalkoztatásra vonatkozó munkaszerződés másolatát, amennyiben szerződéssel nem rendelkezik nyilatkozatot/ nyilatkozatokat az egyszerűsített foglalkoztatásból származó jövedelemről.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Jogviszonyból keletkező ellátásokból – nyugdíj, családi pótlék, árvajáradék, stb. – származó jövedelmét a kérelem benyújtását megelőző hónapra vonatkozó jövedelemigazolással, érvényes nyugdíjszelvénnyel, banki számlakivonattal, határozattal kell igazolni.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Nyilatkozattételi kötelezettség nemleges esetben is fennáll, a kérelmezőnek és családtagjainak büntetőjogi felelőssége tudatában kell nyilatkozni.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 ténylegesen kapott és fizetett gyermektartás díj igazolását (bírósági ítélet, postai feladóvevény vagy folyószámla kivonat, nyilatkozat stb.)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Tartós betegség, rokkantság esetén az erről szóló orvosi igazolás.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Az „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” típusú pályázathoz kötelező mellékelni a felsőoktatási intézmény által kiállított eredeti jogviszony igazolást.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Ha a pályázó testvérei is tanulói hallgatói jogviszonyban állnak és 18 év felettiek, az erről szóló iskolalátogatási bizonyítvány.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Egyéb a pályázatot benyújtó szociális helyzetének megítéléséhez figyelembe vehető igazolások.</w:t>
      </w:r>
    </w:p>
    <w:p w:rsidR="009706F2" w:rsidRPr="009706F2" w:rsidRDefault="009706F2" w:rsidP="009706F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5.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 pályázók közötti azonos pontszám esetén a bizottság az ösztöndíj odaítélésekor, további szociális rászorultságot, illetve azt befolyásoló, helyismeretén alapuló körülményeket is figyelembe vehet, indokolt esetben környezettanulmányt készíthet.</w:t>
      </w:r>
    </w:p>
    <w:p w:rsidR="009706F2" w:rsidRPr="009706F2" w:rsidRDefault="009706F2" w:rsidP="009706F2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6.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Az önkormányzati ösztöndíjat az a pályázó nyeri el, aki az önkormányzat pályázati kiírásában foglalt jogosító feltételeknek maradéktalanul megfelel, - továbbá az önkormányzati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ösztöndíj keretösszege korlátozott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volta miatti - sorrendben magasabb pontszámot ér el, és a támogatására keretösszeg fedezetet biztosít.</w:t>
      </w: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7.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 „B” típusú ösztöndíjasok szociális rászorultságát az önkormányzat a hivatala által évente egyszer felülvizsgálja. </w:t>
      </w: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       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8.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Amennyiben az ösztöndíjas a szociális rászorultsága vizsgálata során kért igazolásokat nem bocsátja rendelkezésre, vagy a vizsgálat során az együttműködést egyéb módon kifejezetten megtagadja, az ösztöndíjas szociális rászorultságának megszűnését vélelmezni kell. 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9.  A pályázó az elbíráló szerv döntése ellen fellebbezéssel nem élhet.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IV. Finanszírozási szabályok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1.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Az önkormányzati ösztöndíj egy főre jutó havi összegét Tömörkény Község Önkormányzata Képviselő-testülete havi 4.000 Ft-ban állapítja meg.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2.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Az ösztöndíjak folyósítása a vonatkozó hatályos jogszabályoknak és a mindenkori pályázati kiírásnak megfelelően történik.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3.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Az ösztöndíjas az önkormányzati ösztöndíjra való jogosultsága megszűnését, annak bekövetkezésétől számított 15 napon belül köteles írásban az önkormányzatnál írásban bejelenteni. 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Az önkormányzat által megítélt ösztöndíjat annak odaítélését követően tanulmányi félévtől – külön határozattal – vissza kell vonni, ha az ösztöndíjban részesülő hallgató elköltözik az önkormányzat illetékességi területéről. </w:t>
      </w: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Amennyiben megállapítást nyert, hogy a pályázó a pályázatban nem a valóságnak megfelelő adatokat szolgáltatott, vagy a pályázati feltételeknek egyebekben nem felel meg, úgy önkormányzati támogatásban az adott pályázati évben a pályázó nem részesülhet, a pályázatot elnyert személyt pedig a jogosulatlanul felvett támogatás teljes összegének egyösszegben való visszatérítésére kell kötelezni határozattal.</w:t>
      </w:r>
    </w:p>
    <w:p w:rsidR="009706F2" w:rsidRPr="009706F2" w:rsidRDefault="009706F2" w:rsidP="009706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V. Záró rendelkezések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Jelen szabályzat 2015. 09. 25-én lép hatályba.</w:t>
      </w:r>
    </w:p>
    <w:p w:rsidR="009706F2" w:rsidRPr="009706F2" w:rsidRDefault="009706F2" w:rsidP="009706F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A szabályzat rendelkezéseit minden olyan alkalommal, amikor Tömörkény Község Önkormányzata Képviselő-testülete csatlakozik 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Ösztöndíjrendszerhez, az ösztöndíj odaítélése alkalmával értelemszerűen alkalmazni kell.</w:t>
      </w: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Tömörkény, 2015. szeptember 25.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Bánfi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Sándor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   Dr.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Faragó Péter polgármester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           jegyző</w:t>
      </w:r>
    </w:p>
    <w:p w:rsidR="009706F2" w:rsidRPr="009706F2" w:rsidRDefault="009706F2" w:rsidP="009706F2">
      <w:pPr>
        <w:tabs>
          <w:tab w:val="center" w:pos="4680"/>
          <w:tab w:val="left" w:pos="6465"/>
        </w:tabs>
        <w:suppressAutoHyphens/>
        <w:spacing w:after="0" w:line="240" w:lineRule="auto"/>
        <w:ind w:right="612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tabs>
          <w:tab w:val="center" w:pos="4680"/>
          <w:tab w:val="left" w:pos="6465"/>
        </w:tabs>
        <w:suppressAutoHyphens/>
        <w:spacing w:after="0" w:line="240" w:lineRule="auto"/>
        <w:ind w:right="612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E16B3D" w:rsidRDefault="00E16B3D">
      <w:bookmarkStart w:id="0" w:name="_GoBack"/>
      <w:bookmarkEnd w:id="0"/>
    </w:p>
    <w:sectPr w:rsidR="00E16B3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29C"/>
    <w:multiLevelType w:val="hybridMultilevel"/>
    <w:tmpl w:val="601A19A6"/>
    <w:lvl w:ilvl="0" w:tplc="624C6CB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C51"/>
    <w:multiLevelType w:val="hybridMultilevel"/>
    <w:tmpl w:val="BB0E80DE"/>
    <w:lvl w:ilvl="0" w:tplc="35AA07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821"/>
    <w:multiLevelType w:val="hybridMultilevel"/>
    <w:tmpl w:val="B9F46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7BE0"/>
    <w:multiLevelType w:val="hybridMultilevel"/>
    <w:tmpl w:val="D9DC4E40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6BC"/>
    <w:multiLevelType w:val="hybridMultilevel"/>
    <w:tmpl w:val="39E685CE"/>
    <w:lvl w:ilvl="0" w:tplc="D5385A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8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A216B"/>
    <w:multiLevelType w:val="hybridMultilevel"/>
    <w:tmpl w:val="2C506276"/>
    <w:lvl w:ilvl="0" w:tplc="70A27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2"/>
    <w:rsid w:val="009706F2"/>
    <w:rsid w:val="00E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B653-2FDD-4FE9-B6B8-4D76397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2019-10-01T10:03:00Z</dcterms:created>
  <dcterms:modified xsi:type="dcterms:W3CDTF">2019-10-01T10:04:00Z</dcterms:modified>
</cp:coreProperties>
</file>